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Programma Nascholing CML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afgelopen maanden bracht HematologieTV u updates op het gebied van het Hodgkin lymfoom, multipel myeloom, ALL en CLL. Uiteraard mag Chronische Myeloïde Leukemie (CML) niet ontbreken in dit rijtje. Ook voor CML wordt de richtlijn namelijk vernieuwd. Deze zal naar verwachting begin 2018 worden uitgebracht.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Het expertpanel bestaat uit richtlijnauteurs: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 Jeroen Janssen, internist-hematoloog, VUMC;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 Peter Westerweel, internist-hematoloog, Albert Schweitzer Ziekenhuis;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 Peter te Boekhorst, internist-hematoloog, Erasmus MC.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Tijdens de nascholing zullen stapsgewijs de belangrijkste veranderingen in de richtlijn worden behandeld. Er zal aandacht zijn voor de keuze in eerstelijnsbehandeling, responsmonitoring en het stoppen van de behandeling.</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